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21556">
      <w:r>
        <w:rPr>
          <w:lang w:eastAsia="ru-RU"/>
        </w:rPr>
        <w:pict>
          <v:shape id="_x0000_s1026" o:spid="_x0000_s1026" o:spt="75" type="#_x0000_t75" style="position:absolute;left:0pt;margin-left:-9pt;margin-top:-29.75pt;height:90pt;width:83.4pt;z-index:251659264;mso-width-relative:page;mso-height-relative:page;" filled="f" stroked="f" coordsize="21600,21600">
            <v:path/>
            <v:fill on="f" focussize="0,0"/>
            <v:stroke on="f"/>
            <v:imagedata r:id="rId6" o:title="эмблема"/>
            <o:lock v:ext="edit" aspectratio="t"/>
          </v:shape>
        </w:pict>
      </w:r>
      <w:r>
        <w:t xml:space="preserve">                                                                                                                                 </w:t>
      </w:r>
    </w:p>
    <w:p w14:paraId="3AC0EE9C">
      <w:pPr>
        <w:ind w:left="-567" w:hanging="1"/>
        <w:jc w:val="center"/>
        <w:rPr>
          <w:rFonts w:ascii="Times New Roman" w:hAnsi="Times New Roman"/>
          <w:sz w:val="24"/>
          <w:szCs w:val="24"/>
        </w:rPr>
      </w:pPr>
    </w:p>
    <w:p w14:paraId="59428EC1">
      <w:pPr>
        <w:shd w:val="clear" w:color="auto" w:fill="FFFFFF"/>
        <w:spacing w:after="60" w:line="264" w:lineRule="atLeast"/>
        <w:jc w:val="center"/>
        <w:textAlignment w:val="baseline"/>
        <w:outlineLvl w:val="3"/>
        <w:rPr>
          <w:rFonts w:ascii="Arial" w:hAnsi="Arial" w:eastAsia="Times New Roman" w:cs="Arial"/>
          <w:b/>
          <w:color w:val="0D0D0D"/>
          <w:sz w:val="26"/>
          <w:szCs w:val="26"/>
          <w:lang w:eastAsia="ru-RU"/>
        </w:rPr>
      </w:pPr>
      <w:r>
        <w:rPr>
          <w:rFonts w:ascii="Arial" w:hAnsi="Arial" w:eastAsia="Times New Roman" w:cs="Arial"/>
          <w:b/>
          <w:color w:val="0D0D0D"/>
          <w:sz w:val="26"/>
          <w:szCs w:val="26"/>
          <w:lang w:eastAsia="ru-RU"/>
        </w:rPr>
        <w:t xml:space="preserve">Терапия радиофармпрепаратом </w:t>
      </w:r>
    </w:p>
    <w:p w14:paraId="715CCBE4">
      <w:pPr>
        <w:shd w:val="clear" w:color="auto" w:fill="FFFFFF"/>
        <w:spacing w:after="60" w:line="264" w:lineRule="atLeast"/>
        <w:jc w:val="center"/>
        <w:textAlignment w:val="baseline"/>
        <w:outlineLvl w:val="3"/>
        <w:rPr>
          <w:rFonts w:ascii="Arial" w:hAnsi="Arial" w:eastAsia="Times New Roman" w:cs="Arial"/>
          <w:b/>
          <w:color w:val="0D0D0D"/>
          <w:sz w:val="26"/>
          <w:szCs w:val="26"/>
          <w:lang w:eastAsia="ru-RU"/>
        </w:rPr>
      </w:pPr>
      <w:r>
        <w:rPr>
          <w:rFonts w:ascii="Arial" w:hAnsi="Arial" w:eastAsia="Times New Roman" w:cs="Arial"/>
          <w:b/>
          <w:color w:val="0D0D0D"/>
          <w:sz w:val="26"/>
          <w:szCs w:val="26"/>
          <w:lang w:eastAsia="ru-RU"/>
        </w:rPr>
        <w:t>Лютеций-177-ПСМА</w:t>
      </w:r>
    </w:p>
    <w:p w14:paraId="00B6B4A5">
      <w:pPr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  <w:bookmarkStart w:id="0" w:name="_GoBack"/>
    </w:p>
    <w:bookmarkEnd w:id="0"/>
    <w:p w14:paraId="77A15096">
      <w:pPr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 xml:space="preserve">Терапия </w:t>
      </w:r>
      <w:r>
        <w:rPr>
          <w:rFonts w:ascii="Times New Roman" w:hAnsi="Times New Roman" w:eastAsia="Times New Roman"/>
          <w:color w:val="0D0D0D"/>
          <w:sz w:val="26"/>
          <w:szCs w:val="26"/>
          <w:lang w:eastAsia="ru-RU"/>
        </w:rPr>
        <w:t>радиофармпрепаратом</w:t>
      </w:r>
      <w:r>
        <w:rPr>
          <w:rFonts w:ascii="Arial" w:hAnsi="Arial" w:eastAsia="Times New Roman" w:cs="Arial"/>
          <w:b/>
          <w:color w:val="0D0D0D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color w:val="0D0D0D"/>
          <w:sz w:val="26"/>
          <w:szCs w:val="26"/>
          <w:shd w:val="clear" w:color="auto" w:fill="FFFFFF"/>
        </w:rPr>
        <w:t xml:space="preserve">Лютеций-177-ПСМА </w:t>
      </w: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 xml:space="preserve">используется только при раке предстательной железе, когда исчерпаны остальные варианты лечения. </w:t>
      </w:r>
    </w:p>
    <w:p w14:paraId="5F09DD76">
      <w:pPr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>В большинстве случаев при </w:t>
      </w: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>раке предстательной железы</w:t>
      </w: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 xml:space="preserve"> наблюдается высокий уровень ПСМА – это простат-специфический мембранный антиген, который в большом количестве экспрессируется клетками опухоли предстательной железы. </w:t>
      </w:r>
    </w:p>
    <w:p w14:paraId="316D0AE9">
      <w:pPr>
        <w:spacing w:after="0"/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>Перед началом терапии Лютеций-177-ПСМА проводится диагностическое сканирование с помощью методов ПЭТ/КТ с диагностическими радиофармпрепаратами 68Ga-ПСМА или 18</w:t>
      </w:r>
      <w:r>
        <w:rPr>
          <w:rFonts w:ascii="Times New Roman" w:hAnsi="Times New Roman"/>
          <w:bCs/>
          <w:color w:val="0D0D0D"/>
          <w:sz w:val="26"/>
          <w:szCs w:val="26"/>
          <w:shd w:val="clear" w:color="auto" w:fill="FFFFFF"/>
        </w:rPr>
        <w:t>F</w:t>
      </w: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>-</w:t>
      </w:r>
      <w:r>
        <w:rPr>
          <w:rFonts w:ascii="Times New Roman" w:hAnsi="Times New Roman"/>
          <w:bCs/>
          <w:color w:val="0D0D0D"/>
          <w:sz w:val="26"/>
          <w:szCs w:val="26"/>
          <w:shd w:val="clear" w:color="auto" w:fill="FFFFFF"/>
        </w:rPr>
        <w:t>ПСМА или ОФЭКТ/КТ с 99</w:t>
      </w:r>
      <w:r>
        <w:rPr>
          <w:rFonts w:ascii="Times New Roman" w:hAnsi="Times New Roman"/>
          <w:bCs/>
          <w:color w:val="0D0D0D"/>
          <w:sz w:val="26"/>
          <w:szCs w:val="26"/>
          <w:shd w:val="clear" w:color="auto" w:fill="FFFFFF"/>
          <w:lang w:val="en-US"/>
        </w:rPr>
        <w:t>mTc</w:t>
      </w:r>
      <w:r>
        <w:rPr>
          <w:rFonts w:ascii="Times New Roman" w:hAnsi="Times New Roman"/>
          <w:bCs/>
          <w:color w:val="0D0D0D"/>
          <w:sz w:val="26"/>
          <w:szCs w:val="26"/>
          <w:shd w:val="clear" w:color="auto" w:fill="FFFFFF"/>
        </w:rPr>
        <w:t>-ПСМА</w:t>
      </w: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>: данная терапия показана только при наличии очагов патологической гиперфиксации диагностических радиофармпрепаратов!</w:t>
      </w:r>
      <w:r>
        <w:rPr>
          <w:rFonts w:ascii="Times New Roman" w:hAnsi="Times New Roman"/>
          <w:b/>
          <w:color w:val="0D0D0D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>При их отсутствии терапия будет неэффективна.</w:t>
      </w:r>
    </w:p>
    <w:p w14:paraId="18DBC08E">
      <w:pPr>
        <w:spacing w:after="200"/>
        <w:jc w:val="center"/>
        <w:rPr>
          <w:rFonts w:ascii="Times New Roman" w:hAnsi="Times New Roman"/>
          <w:b/>
          <w:color w:val="0D0D0D"/>
          <w:sz w:val="26"/>
          <w:szCs w:val="26"/>
          <w:shd w:val="clear" w:color="auto" w:fill="FFFFFF"/>
        </w:rPr>
      </w:pPr>
    </w:p>
    <w:p w14:paraId="7607C3C8">
      <w:pPr>
        <w:spacing w:after="200"/>
        <w:jc w:val="center"/>
        <w:rPr>
          <w:rFonts w:ascii="Times New Roman" w:hAnsi="Times New Roman"/>
          <w:b/>
          <w:color w:val="0D0D0D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0D0D0D"/>
          <w:sz w:val="26"/>
          <w:szCs w:val="26"/>
          <w:shd w:val="clear" w:color="auto" w:fill="FFFFFF"/>
        </w:rPr>
        <w:t>Как действует</w:t>
      </w: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D0D0D"/>
          <w:sz w:val="26"/>
          <w:szCs w:val="26"/>
          <w:shd w:val="clear" w:color="auto" w:fill="FFFFFF"/>
        </w:rPr>
        <w:t>Лютеций-177-ПСМА?</w:t>
      </w:r>
    </w:p>
    <w:p w14:paraId="1557488B">
      <w:pPr>
        <w:spacing w:after="0"/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>Терапия Лютеций-177 [</w:t>
      </w:r>
      <w:r>
        <w:rPr>
          <w:rFonts w:ascii="Times New Roman" w:hAnsi="Times New Roman"/>
          <w:color w:val="0D0D0D"/>
          <w:sz w:val="26"/>
          <w:szCs w:val="26"/>
          <w:shd w:val="clear" w:color="auto" w:fill="FFFFFF"/>
          <w:vertAlign w:val="superscript"/>
        </w:rPr>
        <w:t>177</w:t>
      </w:r>
      <w:r>
        <w:rPr>
          <w:rFonts w:ascii="Times New Roman" w:hAnsi="Times New Roman"/>
          <w:color w:val="0D0D0D"/>
          <w:sz w:val="26"/>
          <w:szCs w:val="26"/>
          <w:shd w:val="clear" w:color="auto" w:fill="FFFFFF"/>
          <w:lang w:val="en-US"/>
        </w:rPr>
        <w:t>Lu</w:t>
      </w: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>]-ПСМА еще называется Пептидной Рецепторной Радионуклидной Терапией - благодаря наличию в составе молекулы ПСМА этот радиофармпрепарат точечно прикрепляется к рецепторам опухолевых клеток, а Лютеций-177 выделяет бета-излучение, которое эффективно повреждает раковые клетки и со временем разрушает их. </w:t>
      </w:r>
    </w:p>
    <w:p w14:paraId="4E8D8FE0">
      <w:pPr>
        <w:spacing w:after="0"/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 xml:space="preserve"> </w:t>
      </w:r>
    </w:p>
    <w:p w14:paraId="2E9EE12B">
      <w:pPr>
        <w:spacing w:after="0"/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>Лютеций-177-ПСМА вводится внутривенно. Поскольку Lu-177-ПСМА терапия направлена на опухолевые клетки, доза радиации, поступающая в другие части тела, очень мала. Часть Lu-177 ПСМА, которая не абсорбируется опухолевыми клетками, выделяется через слюну, мочу и кал.</w:t>
      </w:r>
    </w:p>
    <w:p w14:paraId="2B3F2092">
      <w:pPr>
        <w:pStyle w:val="2"/>
        <w:shd w:val="clear" w:color="auto" w:fill="FFFFFF"/>
        <w:spacing w:before="0" w:after="0" w:line="240" w:lineRule="atLeast"/>
        <w:jc w:val="center"/>
        <w:textAlignment w:val="baseline"/>
        <w:rPr>
          <w:rFonts w:ascii="Times New Roman" w:hAnsi="Times New Roman"/>
          <w:color w:val="0D0D0D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D0D0D"/>
          <w:sz w:val="24"/>
          <w:szCs w:val="24"/>
          <w:shd w:val="clear" w:color="auto" w:fill="FFFFFF"/>
        </w:rPr>
        <w:t xml:space="preserve"> </w:t>
      </w:r>
    </w:p>
    <w:p w14:paraId="22A4CA1E">
      <w:pPr>
        <w:pStyle w:val="2"/>
        <w:shd w:val="clear" w:color="auto" w:fill="FFFFFF"/>
        <w:spacing w:before="0" w:after="0" w:line="240" w:lineRule="atLeast"/>
        <w:jc w:val="center"/>
        <w:textAlignment w:val="baseline"/>
        <w:rPr>
          <w:rFonts w:ascii="Times New Roman" w:hAnsi="Times New Roman"/>
          <w:bCs w:val="0"/>
          <w:color w:val="0D0D0D"/>
        </w:rPr>
      </w:pPr>
      <w:r>
        <w:rPr>
          <w:rFonts w:ascii="Times New Roman" w:hAnsi="Times New Roman"/>
          <w:bCs w:val="0"/>
          <w:color w:val="0D0D0D"/>
        </w:rPr>
        <w:t>Как проводится Лютеций-177 ПСМА терапия?</w:t>
      </w:r>
    </w:p>
    <w:p w14:paraId="2040F5D0">
      <w:pPr>
        <w:spacing w:after="0"/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</w:p>
    <w:p w14:paraId="3D9147F9">
      <w:pPr>
        <w:spacing w:after="0"/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 xml:space="preserve">Перед началом терапии рекомендуется пить много воды. </w:t>
      </w:r>
    </w:p>
    <w:p w14:paraId="33948FE2">
      <w:pPr>
        <w:spacing w:after="0"/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 xml:space="preserve">Lu-177-ПСМА вводится внутривенно, а затем через тот же катетер в течение примерно 30 минут будет вводиться изотонический физиологический раствор. </w:t>
      </w:r>
    </w:p>
    <w:p w14:paraId="6D5A9011">
      <w:pPr>
        <w:spacing w:after="0"/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 xml:space="preserve">Вам необходимо оставаться в клинике в течение периода времени, указанного врачом, до и после инъекции. </w:t>
      </w:r>
    </w:p>
    <w:p w14:paraId="64D6B940">
      <w:pPr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>Для пациентов с недержанием мочи возможно использование мочевого катетера.</w:t>
      </w:r>
    </w:p>
    <w:p w14:paraId="50A080F8">
      <w:pPr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>Лечение состоит из 2-6 циклов, которые будут проводиться с интервалом 6-8 недель. Количество циклов и интервал зависит от вашего общего состояния,  уровня ПСА, показателей крови, состояние функции почек и печени.</w:t>
      </w:r>
    </w:p>
    <w:p w14:paraId="39F9C4E4">
      <w:pPr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>Большая часть радиоактивности выведется из организма с мочой в течение первых 12 часов после лечения.</w:t>
      </w:r>
    </w:p>
    <w:p w14:paraId="096D60CE">
      <w:pPr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 xml:space="preserve">В течении первых 2-3 суток будет проведено постерапевтическое сканирование тела для того, чтобы оценить распределение Lu-177-ПСМА. </w:t>
      </w:r>
    </w:p>
    <w:p w14:paraId="54313E26">
      <w:pPr>
        <w:spacing w:after="0"/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D0D0D"/>
          <w:sz w:val="26"/>
          <w:szCs w:val="26"/>
          <w:shd w:val="clear" w:color="auto" w:fill="FFFFFF"/>
        </w:rPr>
        <w:t>Через 2-6 недель после лечения необходимо сдать контрольные анализы крови (общий анализ крови, биохимический анализ крови).</w:t>
      </w:r>
    </w:p>
    <w:p w14:paraId="29DE4EFF">
      <w:pPr>
        <w:spacing w:after="0"/>
        <w:jc w:val="both"/>
        <w:rPr>
          <w:rFonts w:ascii="Times New Roman" w:hAnsi="Times New Roman"/>
          <w:color w:val="0D0D0D"/>
          <w:sz w:val="26"/>
          <w:szCs w:val="26"/>
          <w:shd w:val="clear" w:color="auto" w:fill="FFFFFF"/>
        </w:rPr>
      </w:pPr>
    </w:p>
    <w:p w14:paraId="5E713F1F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Возможные побочные эффекты </w:t>
      </w:r>
    </w:p>
    <w:p w14:paraId="7028869A">
      <w:pPr>
        <w:numPr>
          <w:ilvl w:val="0"/>
          <w:numId w:val="1"/>
        </w:numPr>
        <w:shd w:val="clear" w:color="auto" w:fill="FFFFFF"/>
        <w:spacing w:after="0" w:line="240" w:lineRule="auto"/>
        <w:ind w:left="255" w:firstLine="0"/>
        <w:textAlignment w:val="baseline"/>
        <w:rPr>
          <w:rFonts w:ascii="Times New Roman" w:hAnsi="Times New Roman" w:eastAsia="Times New Roman"/>
          <w:color w:val="0D0D0D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D0D0D"/>
          <w:sz w:val="26"/>
          <w:szCs w:val="26"/>
          <w:lang w:eastAsia="ru-RU"/>
        </w:rPr>
        <w:t>Сухость во рту</w:t>
      </w:r>
    </w:p>
    <w:p w14:paraId="3105658B">
      <w:pPr>
        <w:numPr>
          <w:ilvl w:val="0"/>
          <w:numId w:val="1"/>
        </w:numPr>
        <w:shd w:val="clear" w:color="auto" w:fill="FFFFFF"/>
        <w:spacing w:after="0" w:line="240" w:lineRule="auto"/>
        <w:ind w:left="255" w:firstLine="0"/>
        <w:textAlignment w:val="baseline"/>
        <w:rPr>
          <w:rFonts w:ascii="Times New Roman" w:hAnsi="Times New Roman" w:eastAsia="Times New Roman"/>
          <w:color w:val="0D0D0D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D0D0D"/>
          <w:sz w:val="26"/>
          <w:szCs w:val="26"/>
          <w:lang w:eastAsia="ru-RU"/>
        </w:rPr>
        <w:t>Усталость</w:t>
      </w:r>
    </w:p>
    <w:p w14:paraId="1347291C">
      <w:pPr>
        <w:numPr>
          <w:ilvl w:val="0"/>
          <w:numId w:val="1"/>
        </w:numPr>
        <w:shd w:val="clear" w:color="auto" w:fill="FFFFFF"/>
        <w:spacing w:after="0" w:line="240" w:lineRule="auto"/>
        <w:ind w:left="255" w:firstLine="0"/>
        <w:textAlignment w:val="baseline"/>
        <w:rPr>
          <w:rFonts w:ascii="Times New Roman" w:hAnsi="Times New Roman" w:eastAsia="Times New Roman"/>
          <w:color w:val="0D0D0D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D0D0D"/>
          <w:sz w:val="26"/>
          <w:szCs w:val="26"/>
          <w:lang w:eastAsia="ru-RU"/>
        </w:rPr>
        <w:t>Тошнота</w:t>
      </w:r>
    </w:p>
    <w:p w14:paraId="5A712D5A">
      <w:pPr>
        <w:numPr>
          <w:ilvl w:val="0"/>
          <w:numId w:val="1"/>
        </w:numPr>
        <w:shd w:val="clear" w:color="auto" w:fill="FFFFFF"/>
        <w:spacing w:after="0" w:line="240" w:lineRule="auto"/>
        <w:ind w:left="255" w:firstLine="0"/>
        <w:textAlignment w:val="baseline"/>
        <w:rPr>
          <w:rFonts w:ascii="Times New Roman" w:hAnsi="Times New Roman" w:eastAsia="Times New Roman"/>
          <w:color w:val="0D0D0D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D0D0D"/>
          <w:sz w:val="26"/>
          <w:szCs w:val="26"/>
          <w:lang w:eastAsia="ru-RU"/>
        </w:rPr>
        <w:t>Снижение показателей в общем анализе крови</w:t>
      </w:r>
    </w:p>
    <w:p w14:paraId="5CF7DB59">
      <w:pPr>
        <w:shd w:val="clear" w:color="auto" w:fill="FFFFFF"/>
        <w:spacing w:after="0" w:line="240" w:lineRule="auto"/>
        <w:ind w:left="255"/>
        <w:textAlignment w:val="baseline"/>
        <w:rPr>
          <w:rFonts w:ascii="inherit" w:hAnsi="inherit" w:eastAsia="Times New Roman" w:cs="Arial"/>
          <w:color w:val="4C4C4C"/>
          <w:sz w:val="24"/>
          <w:szCs w:val="24"/>
          <w:lang w:eastAsia="ru-RU"/>
        </w:rPr>
      </w:pPr>
    </w:p>
    <w:p w14:paraId="551A08D1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Что следует делать после терапии Лютеций-177 ПСМА?</w:t>
      </w:r>
    </w:p>
    <w:p w14:paraId="3FB0AEB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После проведенной терапии радиация сохраняется внутри тела, однако организм выделяет ее в очень небольшое количество. Окружающие люди не подвергаются риску после вашей выписки. </w:t>
      </w:r>
    </w:p>
    <w:p w14:paraId="14FF164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Тем не менее, рекомендуется соблюдать ряд правил:</w:t>
      </w:r>
    </w:p>
    <w:p w14:paraId="1F180100">
      <w:pPr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Смывайте в туалете дважды после каждого использования в течение одной недели после процедуры. Пациентам рекомендуется пить жидкость во время процедуры и опорожняться как можно чаще (в первые 6-10 часов), чтобы уменьшить облучение мочевого пузыря.</w:t>
      </w:r>
    </w:p>
    <w:p w14:paraId="0DA75049">
      <w:pPr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Постарайтесь свести к минимуму воздействия радиации на окружающих путем ограничения близости контакта (менее 1 метра) в течение 2 дней и ограничение сексуальной активности в течение 7 дней. Ограничьте контакт до 7 дней с детьми и до 15 дней с беременными женщинами. </w:t>
      </w:r>
    </w:p>
    <w:p w14:paraId="2489B364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Необходимо пить много жидкости в течение первых 3–4 дней после лечения</w:t>
      </w:r>
    </w:p>
    <w:p w14:paraId="10CA075E">
      <w:pPr>
        <w:jc w:val="both"/>
        <w:rPr>
          <w:rFonts w:ascii="Times New Roman" w:hAnsi="Times New Roman"/>
          <w:sz w:val="24"/>
          <w:szCs w:val="24"/>
        </w:rPr>
      </w:pPr>
    </w:p>
    <w:p w14:paraId="6847DE46">
      <w:pPr>
        <w:pStyle w:val="1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Контакты:</w:t>
      </w:r>
    </w:p>
    <w:p w14:paraId="6B65415B">
      <w:pPr>
        <w:pStyle w:val="1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Старший научный сотрудник отделения радионуклидной терапии и диагностики</w:t>
      </w:r>
    </w:p>
    <w:p w14:paraId="2E77ABF3">
      <w:pPr>
        <w:pStyle w:val="1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НИИ онкологии Томского НИМЦ д.м.н. Медведева Анна Александровна</w:t>
      </w:r>
    </w:p>
    <w:p w14:paraId="6BD9CADE">
      <w:pPr>
        <w:pStyle w:val="10"/>
        <w:ind w:left="-142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Тел. (83222) 418079</w:t>
      </w:r>
    </w:p>
    <w:p w14:paraId="3EE4C4EC">
      <w:pPr>
        <w:pStyle w:val="10"/>
        <w:ind w:left="-142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e-mail: medvedeva@tnimc.ru</w:t>
      </w:r>
    </w:p>
    <w:p w14:paraId="5C1ED701">
      <w:pPr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14:paraId="18FF7E86">
      <w:pPr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14:paraId="1CF17C59">
      <w:pPr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sectPr>
      <w:pgSz w:w="11906" w:h="16838"/>
      <w:pgMar w:top="1134" w:right="849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Segoe UI">
    <w:altName w:val="Segoe UI Black"/>
    <w:panose1 w:val="020B0502040204020203"/>
    <w:charset w:val="CC"/>
    <w:family w:val="swiss"/>
    <w:pitch w:val="default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9A0F83"/>
    <w:multiLevelType w:val="multilevel"/>
    <w:tmpl w:val="029A0F8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>
    <w:nsid w:val="2D124C21"/>
    <w:multiLevelType w:val="multilevel"/>
    <w:tmpl w:val="2D124C2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708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327E"/>
    <w:rsid w:val="00067663"/>
    <w:rsid w:val="000B32FD"/>
    <w:rsid w:val="000D56F4"/>
    <w:rsid w:val="000F754B"/>
    <w:rsid w:val="00110ABA"/>
    <w:rsid w:val="00121564"/>
    <w:rsid w:val="00146398"/>
    <w:rsid w:val="00160435"/>
    <w:rsid w:val="001675B3"/>
    <w:rsid w:val="00175049"/>
    <w:rsid w:val="00186F6D"/>
    <w:rsid w:val="00192DC9"/>
    <w:rsid w:val="001C1D88"/>
    <w:rsid w:val="00221210"/>
    <w:rsid w:val="002222EA"/>
    <w:rsid w:val="00223590"/>
    <w:rsid w:val="00257F3F"/>
    <w:rsid w:val="00264402"/>
    <w:rsid w:val="00271A25"/>
    <w:rsid w:val="002873E7"/>
    <w:rsid w:val="002A3E99"/>
    <w:rsid w:val="002C4442"/>
    <w:rsid w:val="002C68CE"/>
    <w:rsid w:val="002D17C4"/>
    <w:rsid w:val="002D1C69"/>
    <w:rsid w:val="002D5705"/>
    <w:rsid w:val="002F2A5E"/>
    <w:rsid w:val="00340E28"/>
    <w:rsid w:val="00366785"/>
    <w:rsid w:val="00391BFB"/>
    <w:rsid w:val="003962C2"/>
    <w:rsid w:val="003C655B"/>
    <w:rsid w:val="003D1ED2"/>
    <w:rsid w:val="003D238C"/>
    <w:rsid w:val="00411CE9"/>
    <w:rsid w:val="00417338"/>
    <w:rsid w:val="00426BC9"/>
    <w:rsid w:val="00440B6D"/>
    <w:rsid w:val="00477B0F"/>
    <w:rsid w:val="0050533E"/>
    <w:rsid w:val="0059327E"/>
    <w:rsid w:val="00595E0E"/>
    <w:rsid w:val="005E549D"/>
    <w:rsid w:val="005F6521"/>
    <w:rsid w:val="006224B4"/>
    <w:rsid w:val="00633D1E"/>
    <w:rsid w:val="00664CF8"/>
    <w:rsid w:val="00680210"/>
    <w:rsid w:val="00691A31"/>
    <w:rsid w:val="006A04AF"/>
    <w:rsid w:val="006B6AD4"/>
    <w:rsid w:val="006C357C"/>
    <w:rsid w:val="006D41E1"/>
    <w:rsid w:val="006E3F7B"/>
    <w:rsid w:val="006F2C82"/>
    <w:rsid w:val="006F52F0"/>
    <w:rsid w:val="007221F0"/>
    <w:rsid w:val="00725C0F"/>
    <w:rsid w:val="007314B0"/>
    <w:rsid w:val="007424CB"/>
    <w:rsid w:val="0075180F"/>
    <w:rsid w:val="007559C8"/>
    <w:rsid w:val="00762314"/>
    <w:rsid w:val="007806A8"/>
    <w:rsid w:val="007B3D9D"/>
    <w:rsid w:val="007D2E1F"/>
    <w:rsid w:val="007E111A"/>
    <w:rsid w:val="007F5F13"/>
    <w:rsid w:val="007F6B4D"/>
    <w:rsid w:val="00821F1B"/>
    <w:rsid w:val="00821FB4"/>
    <w:rsid w:val="008371E3"/>
    <w:rsid w:val="00863144"/>
    <w:rsid w:val="00894FCA"/>
    <w:rsid w:val="008A0AD5"/>
    <w:rsid w:val="008A3869"/>
    <w:rsid w:val="008D01B7"/>
    <w:rsid w:val="008E25D3"/>
    <w:rsid w:val="00973A8C"/>
    <w:rsid w:val="00992D6C"/>
    <w:rsid w:val="009A03E3"/>
    <w:rsid w:val="009A1C0C"/>
    <w:rsid w:val="009A37C0"/>
    <w:rsid w:val="009B01D5"/>
    <w:rsid w:val="009B0E53"/>
    <w:rsid w:val="009B34A0"/>
    <w:rsid w:val="009E343C"/>
    <w:rsid w:val="009E60E0"/>
    <w:rsid w:val="00A00894"/>
    <w:rsid w:val="00A248C4"/>
    <w:rsid w:val="00A5203D"/>
    <w:rsid w:val="00A54600"/>
    <w:rsid w:val="00A57D46"/>
    <w:rsid w:val="00A7710B"/>
    <w:rsid w:val="00A954EC"/>
    <w:rsid w:val="00AD742F"/>
    <w:rsid w:val="00B340D5"/>
    <w:rsid w:val="00B430C6"/>
    <w:rsid w:val="00B50B1C"/>
    <w:rsid w:val="00B62E41"/>
    <w:rsid w:val="00B64E28"/>
    <w:rsid w:val="00BA4896"/>
    <w:rsid w:val="00BB0D6A"/>
    <w:rsid w:val="00BB3AA0"/>
    <w:rsid w:val="00C21ADA"/>
    <w:rsid w:val="00C2796F"/>
    <w:rsid w:val="00C8255D"/>
    <w:rsid w:val="00C847FA"/>
    <w:rsid w:val="00C9254E"/>
    <w:rsid w:val="00C95653"/>
    <w:rsid w:val="00CA5ADB"/>
    <w:rsid w:val="00CC355B"/>
    <w:rsid w:val="00CC3D85"/>
    <w:rsid w:val="00CC46C5"/>
    <w:rsid w:val="00CC4F0C"/>
    <w:rsid w:val="00CD3296"/>
    <w:rsid w:val="00D018C9"/>
    <w:rsid w:val="00D10B80"/>
    <w:rsid w:val="00D14EAE"/>
    <w:rsid w:val="00D3067D"/>
    <w:rsid w:val="00D36AEE"/>
    <w:rsid w:val="00D420AB"/>
    <w:rsid w:val="00D77173"/>
    <w:rsid w:val="00DC0711"/>
    <w:rsid w:val="00DD7786"/>
    <w:rsid w:val="00E04185"/>
    <w:rsid w:val="00E12021"/>
    <w:rsid w:val="00E16F8E"/>
    <w:rsid w:val="00E4466B"/>
    <w:rsid w:val="00E53FA9"/>
    <w:rsid w:val="00E56E31"/>
    <w:rsid w:val="00E573D1"/>
    <w:rsid w:val="00E60C4F"/>
    <w:rsid w:val="00E63686"/>
    <w:rsid w:val="00E705A0"/>
    <w:rsid w:val="00EA5BA6"/>
    <w:rsid w:val="00ED21AE"/>
    <w:rsid w:val="00ED3405"/>
    <w:rsid w:val="00F05267"/>
    <w:rsid w:val="00F05C34"/>
    <w:rsid w:val="00F1389D"/>
    <w:rsid w:val="00F20CF5"/>
    <w:rsid w:val="00F340F9"/>
    <w:rsid w:val="00F3468B"/>
    <w:rsid w:val="00F81323"/>
    <w:rsid w:val="00FA032A"/>
    <w:rsid w:val="00FA79C0"/>
    <w:rsid w:val="00FB0A64"/>
    <w:rsid w:val="00FF7481"/>
    <w:rsid w:val="73FB7B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sz w:val="22"/>
      <w:szCs w:val="22"/>
      <w:lang w:val="ru-RU" w:eastAsia="en-US" w:bidi="ar-SA"/>
    </w:rPr>
  </w:style>
  <w:style w:type="paragraph" w:styleId="2">
    <w:name w:val="heading 3"/>
    <w:basedOn w:val="1"/>
    <w:next w:val="1"/>
    <w:link w:val="12"/>
    <w:semiHidden/>
    <w:unhideWhenUsed/>
    <w:qFormat/>
    <w:uiPriority w:val="9"/>
    <w:pPr>
      <w:keepNext/>
      <w:spacing w:before="240" w:after="60"/>
      <w:outlineLvl w:val="2"/>
    </w:pPr>
    <w:rPr>
      <w:rFonts w:ascii="Calibri Light" w:hAnsi="Calibri Light" w:eastAsia="Times New Roman"/>
      <w:b/>
      <w:bCs/>
      <w:sz w:val="26"/>
      <w:szCs w:val="26"/>
    </w:rPr>
  </w:style>
  <w:style w:type="paragraph" w:styleId="3">
    <w:name w:val="heading 4"/>
    <w:basedOn w:val="1"/>
    <w:link w:val="11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6">
    <w:name w:val="Hyperlink"/>
    <w:semiHidden/>
    <w:unhideWhenUsed/>
    <w:uiPriority w:val="99"/>
    <w:rPr>
      <w:color w:val="0000FF"/>
      <w:u w:val="single"/>
    </w:rPr>
  </w:style>
  <w:style w:type="paragraph" w:styleId="7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/>
      <w:sz w:val="18"/>
      <w:szCs w:val="18"/>
    </w:rPr>
  </w:style>
  <w:style w:type="table" w:styleId="8">
    <w:name w:val="Table Grid"/>
    <w:basedOn w:val="5"/>
    <w:uiPriority w:val="39"/>
    <w:pPr>
      <w:spacing w:after="0" w:line="240" w:lineRule="auto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Текст выноски Знак"/>
    <w:link w:val="7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spacing w:after="200" w:line="276" w:lineRule="auto"/>
      <w:ind w:left="720"/>
      <w:contextualSpacing/>
    </w:pPr>
  </w:style>
  <w:style w:type="character" w:customStyle="1" w:styleId="11">
    <w:name w:val="Заголовок 4 Знак"/>
    <w:link w:val="3"/>
    <w:uiPriority w:val="9"/>
    <w:rPr>
      <w:rFonts w:ascii="Times New Roman" w:hAnsi="Times New Roman" w:eastAsia="Times New Roman"/>
      <w:b/>
      <w:bCs/>
      <w:sz w:val="24"/>
      <w:szCs w:val="24"/>
    </w:rPr>
  </w:style>
  <w:style w:type="character" w:customStyle="1" w:styleId="12">
    <w:name w:val="Заголовок 3 Знак"/>
    <w:link w:val="2"/>
    <w:semiHidden/>
    <w:uiPriority w:val="9"/>
    <w:rPr>
      <w:rFonts w:ascii="Calibri Light" w:hAnsi="Calibri Light" w:eastAsia="Times New Roman" w:cs="Times New Roman"/>
      <w:b/>
      <w:bCs/>
      <w:sz w:val="26"/>
      <w:szCs w:val="2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550</Words>
  <Characters>3137</Characters>
  <Lines>26</Lines>
  <Paragraphs>7</Paragraphs>
  <TotalTime>1</TotalTime>
  <ScaleCrop>false</ScaleCrop>
  <LinksUpToDate>false</LinksUpToDate>
  <CharactersWithSpaces>3680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2022-06-15T03:44:00Z</dcterms:created>
  <dc:creator>Irina Khvorostova</dc:creator>
  <cp:lastModifiedBy>User</cp:lastModifiedBy>
  <cp:lastPrinted>2024-07-24T01:41:00Z</cp:lastPrinted>
  <dcterms:modified xsi:type="dcterms:W3CDTF">2024-11-05T12:16:50Z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iteId">
    <vt:lpwstr>fcb2b37b-5da0-466b-9b83-0014b67a7c78</vt:lpwstr>
  </property>
  <property fmtid="{D5CDD505-2E9C-101B-9397-08002B2CF9AE}" pid="4" name="MSIP_Label_7f850223-87a8-40c3-9eb2-432606efca2a_Owner">
    <vt:lpwstr>irina.khvorostova@bayer.com</vt:lpwstr>
  </property>
  <property fmtid="{D5CDD505-2E9C-101B-9397-08002B2CF9AE}" pid="5" name="MSIP_Label_7f850223-87a8-40c3-9eb2-432606efca2a_SetDate">
    <vt:lpwstr>2020-04-07T11:52:34.0297657Z</vt:lpwstr>
  </property>
  <property fmtid="{D5CDD505-2E9C-101B-9397-08002B2CF9AE}" pid="6" name="MSIP_Label_7f850223-87a8-40c3-9eb2-432606efca2a_Name">
    <vt:lpwstr>NO CLASSIFICATION</vt:lpwstr>
  </property>
  <property fmtid="{D5CDD505-2E9C-101B-9397-08002B2CF9AE}" pid="7" name="MSIP_Label_7f850223-87a8-40c3-9eb2-432606efca2a_Application">
    <vt:lpwstr>Microsoft Azure Information Protection</vt:lpwstr>
  </property>
  <property fmtid="{D5CDD505-2E9C-101B-9397-08002B2CF9AE}" pid="8" name="MSIP_Label_7f850223-87a8-40c3-9eb2-432606efca2a_Extended_MSFT_Method">
    <vt:lpwstr>Automatic</vt:lpwstr>
  </property>
  <property fmtid="{D5CDD505-2E9C-101B-9397-08002B2CF9AE}" pid="9" name="Sensitivity">
    <vt:lpwstr>NO CLASSIFICATION</vt:lpwstr>
  </property>
  <property fmtid="{D5CDD505-2E9C-101B-9397-08002B2CF9AE}" pid="10" name="KSOProductBuildVer">
    <vt:lpwstr>1049-12.2.0.18607</vt:lpwstr>
  </property>
  <property fmtid="{D5CDD505-2E9C-101B-9397-08002B2CF9AE}" pid="11" name="ICV">
    <vt:lpwstr>9710A40775024D16BD6D6E4CFC38DA95_13</vt:lpwstr>
  </property>
</Properties>
</file>